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92" w:rsidRPr="00D86FCB" w:rsidRDefault="00381492" w:rsidP="00D86FCB">
      <w:pPr>
        <w:pStyle w:val="Bezodstpw"/>
        <w:rPr>
          <w:rFonts w:ascii="Times New Roman" w:hAnsi="Times New Roman"/>
        </w:rPr>
      </w:pPr>
      <w:bookmarkStart w:id="0" w:name="_GoBack"/>
      <w:bookmarkEnd w:id="0"/>
      <w:r w:rsidRPr="00D86FCB">
        <w:rPr>
          <w:sz w:val="24"/>
          <w:szCs w:val="24"/>
        </w:rPr>
        <w:tab/>
      </w:r>
      <w:r w:rsidRPr="00D86FCB">
        <w:rPr>
          <w:sz w:val="24"/>
          <w:szCs w:val="24"/>
        </w:rPr>
        <w:tab/>
      </w:r>
      <w:r w:rsidRPr="00D86FCB">
        <w:rPr>
          <w:sz w:val="24"/>
          <w:szCs w:val="24"/>
        </w:rPr>
        <w:tab/>
      </w:r>
      <w:r w:rsidRPr="00D86FCB">
        <w:rPr>
          <w:sz w:val="24"/>
          <w:szCs w:val="24"/>
        </w:rPr>
        <w:tab/>
      </w:r>
      <w:r w:rsidRPr="00D86FCB">
        <w:rPr>
          <w:sz w:val="24"/>
          <w:szCs w:val="24"/>
        </w:rPr>
        <w:tab/>
      </w:r>
      <w:r w:rsidRPr="00D86FCB">
        <w:rPr>
          <w:sz w:val="24"/>
          <w:szCs w:val="24"/>
        </w:rPr>
        <w:tab/>
      </w:r>
      <w:r w:rsidRPr="00D86FCB">
        <w:rPr>
          <w:sz w:val="24"/>
          <w:szCs w:val="24"/>
        </w:rPr>
        <w:tab/>
      </w:r>
      <w:r w:rsidRPr="00D86FCB">
        <w:rPr>
          <w:sz w:val="24"/>
          <w:szCs w:val="24"/>
        </w:rPr>
        <w:tab/>
      </w:r>
      <w:r w:rsidRPr="00D86FCB">
        <w:rPr>
          <w:sz w:val="24"/>
          <w:szCs w:val="24"/>
        </w:rPr>
        <w:tab/>
      </w:r>
      <w:r w:rsidRPr="00D86FCB">
        <w:rPr>
          <w:sz w:val="24"/>
          <w:szCs w:val="24"/>
        </w:rPr>
        <w:tab/>
      </w:r>
      <w:r w:rsidRPr="00D86FCB">
        <w:rPr>
          <w:sz w:val="24"/>
          <w:szCs w:val="24"/>
        </w:rPr>
        <w:tab/>
      </w:r>
      <w:r w:rsidRPr="00D86FCB">
        <w:tab/>
      </w:r>
      <w:r w:rsidR="00D86FCB">
        <w:tab/>
      </w:r>
      <w:r w:rsidR="00D86FCB">
        <w:tab/>
      </w:r>
      <w:r w:rsidR="00D86FCB">
        <w:tab/>
      </w:r>
      <w:r w:rsidRPr="00D86FCB">
        <w:rPr>
          <w:rFonts w:ascii="Times New Roman" w:hAnsi="Times New Roman"/>
        </w:rPr>
        <w:t>Załącznik Nr 1</w:t>
      </w:r>
    </w:p>
    <w:p w:rsidR="00381492" w:rsidRPr="00D86FCB" w:rsidRDefault="00381492" w:rsidP="00D86FCB">
      <w:pPr>
        <w:pStyle w:val="Bezodstpw"/>
        <w:rPr>
          <w:rFonts w:ascii="Times New Roman" w:hAnsi="Times New Roman"/>
        </w:rPr>
      </w:pP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  <w:t xml:space="preserve">do zarządzenia Nr </w:t>
      </w:r>
      <w:r w:rsidR="00E27F24">
        <w:rPr>
          <w:rFonts w:ascii="Times New Roman" w:hAnsi="Times New Roman"/>
        </w:rPr>
        <w:t xml:space="preserve"> </w:t>
      </w:r>
      <w:r w:rsidR="00EF2997">
        <w:rPr>
          <w:rFonts w:ascii="Times New Roman" w:hAnsi="Times New Roman"/>
        </w:rPr>
        <w:t>57</w:t>
      </w:r>
      <w:r w:rsidR="00D86FCB" w:rsidRPr="00D86FCB">
        <w:rPr>
          <w:rFonts w:ascii="Times New Roman" w:hAnsi="Times New Roman"/>
        </w:rPr>
        <w:t>/20</w:t>
      </w:r>
      <w:r w:rsidR="00A16626">
        <w:rPr>
          <w:rFonts w:ascii="Times New Roman" w:hAnsi="Times New Roman"/>
        </w:rPr>
        <w:t>2</w:t>
      </w:r>
      <w:r w:rsidR="00586574">
        <w:rPr>
          <w:rFonts w:ascii="Times New Roman" w:hAnsi="Times New Roman"/>
        </w:rPr>
        <w:t>4</w:t>
      </w:r>
    </w:p>
    <w:p w:rsidR="00381492" w:rsidRPr="00D86FCB" w:rsidRDefault="00381492" w:rsidP="00D86FCB">
      <w:pPr>
        <w:pStyle w:val="Bezodstpw"/>
        <w:rPr>
          <w:rFonts w:ascii="Times New Roman" w:hAnsi="Times New Roman"/>
        </w:rPr>
      </w:pP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  <w:t>Wójta Gminy Mircze</w:t>
      </w:r>
    </w:p>
    <w:p w:rsidR="00381492" w:rsidRPr="00D86FCB" w:rsidRDefault="00381492" w:rsidP="00D86FCB">
      <w:pPr>
        <w:pStyle w:val="Bezodstpw"/>
        <w:rPr>
          <w:rFonts w:ascii="Times New Roman" w:hAnsi="Times New Roman"/>
        </w:rPr>
      </w:pP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  <w:t xml:space="preserve">  </w:t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</w:r>
      <w:r w:rsidRPr="00D86FCB">
        <w:rPr>
          <w:rFonts w:ascii="Times New Roman" w:hAnsi="Times New Roman"/>
        </w:rPr>
        <w:tab/>
        <w:t xml:space="preserve">              z dnia </w:t>
      </w:r>
      <w:r w:rsidR="00586574">
        <w:rPr>
          <w:rFonts w:ascii="Times New Roman" w:hAnsi="Times New Roman"/>
        </w:rPr>
        <w:t>24 kwietnia</w:t>
      </w:r>
      <w:r w:rsidR="00A03378">
        <w:rPr>
          <w:rFonts w:ascii="Times New Roman" w:hAnsi="Times New Roman"/>
        </w:rPr>
        <w:t xml:space="preserve"> </w:t>
      </w:r>
      <w:r w:rsidR="00251416">
        <w:rPr>
          <w:rFonts w:ascii="Times New Roman" w:hAnsi="Times New Roman"/>
        </w:rPr>
        <w:t xml:space="preserve"> </w:t>
      </w:r>
      <w:r w:rsidR="00D86FCB" w:rsidRPr="00D86FCB">
        <w:rPr>
          <w:rFonts w:ascii="Times New Roman" w:hAnsi="Times New Roman"/>
        </w:rPr>
        <w:t>20</w:t>
      </w:r>
      <w:r w:rsidR="00A16626">
        <w:rPr>
          <w:rFonts w:ascii="Times New Roman" w:hAnsi="Times New Roman"/>
        </w:rPr>
        <w:t>2</w:t>
      </w:r>
      <w:r w:rsidR="00586574">
        <w:rPr>
          <w:rFonts w:ascii="Times New Roman" w:hAnsi="Times New Roman"/>
        </w:rPr>
        <w:t>4</w:t>
      </w:r>
      <w:r w:rsidR="00D86FCB" w:rsidRPr="00D86FCB">
        <w:rPr>
          <w:rFonts w:ascii="Times New Roman" w:hAnsi="Times New Roman"/>
        </w:rPr>
        <w:t xml:space="preserve"> roku</w:t>
      </w:r>
    </w:p>
    <w:p w:rsidR="00381492" w:rsidRPr="00D86FCB" w:rsidRDefault="00381492" w:rsidP="00381492">
      <w:pPr>
        <w:rPr>
          <w:rFonts w:ascii="Times New Roman" w:hAnsi="Times New Roman"/>
          <w:sz w:val="20"/>
          <w:szCs w:val="20"/>
        </w:rPr>
      </w:pPr>
    </w:p>
    <w:p w:rsidR="00381492" w:rsidRPr="00615257" w:rsidRDefault="00381492" w:rsidP="00381492">
      <w:pPr>
        <w:pStyle w:val="Nagwek1"/>
        <w:numPr>
          <w:ilvl w:val="0"/>
          <w:numId w:val="1"/>
        </w:numPr>
        <w:tabs>
          <w:tab w:val="left" w:pos="0"/>
        </w:tabs>
        <w:rPr>
          <w:szCs w:val="24"/>
        </w:rPr>
      </w:pPr>
      <w:r w:rsidRPr="00D86FCB">
        <w:rPr>
          <w:szCs w:val="24"/>
        </w:rPr>
        <w:t>WYKAZ</w:t>
      </w:r>
    </w:p>
    <w:p w:rsidR="003068AA" w:rsidRPr="00E31B36" w:rsidRDefault="00381492" w:rsidP="003068AA">
      <w:pPr>
        <w:pStyle w:val="Nagwek1"/>
        <w:numPr>
          <w:ilvl w:val="0"/>
          <w:numId w:val="1"/>
        </w:numPr>
        <w:tabs>
          <w:tab w:val="left" w:pos="0"/>
        </w:tabs>
        <w:rPr>
          <w:szCs w:val="24"/>
        </w:rPr>
      </w:pPr>
      <w:r w:rsidRPr="00D86FCB">
        <w:rPr>
          <w:szCs w:val="24"/>
        </w:rPr>
        <w:t>nieruchomości gruntow</w:t>
      </w:r>
      <w:r w:rsidR="00586574">
        <w:rPr>
          <w:szCs w:val="24"/>
        </w:rPr>
        <w:t>ej</w:t>
      </w:r>
      <w:r w:rsidR="00EA7001">
        <w:rPr>
          <w:szCs w:val="24"/>
        </w:rPr>
        <w:t xml:space="preserve"> zabudowan</w:t>
      </w:r>
      <w:r w:rsidR="00586574">
        <w:rPr>
          <w:szCs w:val="24"/>
        </w:rPr>
        <w:t>ej</w:t>
      </w:r>
      <w:r w:rsidRPr="00D86FCB">
        <w:rPr>
          <w:szCs w:val="24"/>
        </w:rPr>
        <w:t>, stanowiąc</w:t>
      </w:r>
      <w:r w:rsidR="00586574">
        <w:rPr>
          <w:szCs w:val="24"/>
        </w:rPr>
        <w:t>ej</w:t>
      </w:r>
      <w:r w:rsidRPr="00D86FCB">
        <w:rPr>
          <w:szCs w:val="24"/>
        </w:rPr>
        <w:t xml:space="preserve"> własność Gminy Mircze  położon</w:t>
      </w:r>
      <w:r w:rsidR="00586574">
        <w:rPr>
          <w:szCs w:val="24"/>
        </w:rPr>
        <w:t>ej</w:t>
      </w:r>
      <w:r w:rsidRPr="00D86FCB">
        <w:rPr>
          <w:szCs w:val="24"/>
        </w:rPr>
        <w:t xml:space="preserve"> w miejscowości</w:t>
      </w:r>
      <w:r w:rsidR="00251416">
        <w:rPr>
          <w:szCs w:val="24"/>
        </w:rPr>
        <w:t xml:space="preserve"> Mircze</w:t>
      </w:r>
      <w:r w:rsidR="00EA7001">
        <w:rPr>
          <w:szCs w:val="24"/>
        </w:rPr>
        <w:t xml:space="preserve"> przy ul. Górnej 4A, 4B, 4C, </w:t>
      </w:r>
      <w:r w:rsidR="00901B3A">
        <w:rPr>
          <w:szCs w:val="24"/>
        </w:rPr>
        <w:t>pr</w:t>
      </w:r>
      <w:r w:rsidR="00C67C50">
        <w:rPr>
          <w:szCs w:val="24"/>
        </w:rPr>
        <w:t>z</w:t>
      </w:r>
      <w:r w:rsidRPr="00D86FCB">
        <w:rPr>
          <w:szCs w:val="24"/>
        </w:rPr>
        <w:t>eznaczon</w:t>
      </w:r>
      <w:r w:rsidR="002B4911">
        <w:rPr>
          <w:szCs w:val="24"/>
        </w:rPr>
        <w:t>ej</w:t>
      </w:r>
      <w:r w:rsidRPr="00D86FCB">
        <w:rPr>
          <w:szCs w:val="24"/>
        </w:rPr>
        <w:t xml:space="preserve"> do sprzedaży w </w:t>
      </w:r>
      <w:r w:rsidR="00251416">
        <w:rPr>
          <w:szCs w:val="24"/>
        </w:rPr>
        <w:t>drodze</w:t>
      </w:r>
      <w:r w:rsidRPr="00D86FCB">
        <w:rPr>
          <w:szCs w:val="24"/>
        </w:rPr>
        <w:t xml:space="preserve"> przetargu ustnego </w:t>
      </w:r>
      <w:r w:rsidR="00901B3A">
        <w:rPr>
          <w:szCs w:val="24"/>
        </w:rPr>
        <w:t>nie</w:t>
      </w:r>
      <w:r w:rsidRPr="00D86FCB">
        <w:rPr>
          <w:szCs w:val="24"/>
        </w:rPr>
        <w:t>ograniczonego.</w:t>
      </w:r>
    </w:p>
    <w:tbl>
      <w:tblPr>
        <w:tblStyle w:val="Tabela-Siatka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1"/>
        <w:gridCol w:w="877"/>
        <w:gridCol w:w="1560"/>
        <w:gridCol w:w="1984"/>
        <w:gridCol w:w="1418"/>
        <w:gridCol w:w="1275"/>
        <w:gridCol w:w="4253"/>
        <w:gridCol w:w="2410"/>
        <w:gridCol w:w="1701"/>
      </w:tblGrid>
      <w:tr w:rsidR="00A228E5" w:rsidRPr="00D86FCB" w:rsidTr="00270ED7">
        <w:tc>
          <w:tcPr>
            <w:tcW w:w="541" w:type="dxa"/>
          </w:tcPr>
          <w:p w:rsidR="00381492" w:rsidRPr="00783E19" w:rsidRDefault="00381492" w:rsidP="00FC28F3">
            <w:pPr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783E19">
              <w:rPr>
                <w:rFonts w:ascii="Times New Roman" w:hAnsi="Times New Roman"/>
                <w:b/>
                <w:i/>
                <w:szCs w:val="20"/>
              </w:rPr>
              <w:t>Lp.</w:t>
            </w:r>
          </w:p>
        </w:tc>
        <w:tc>
          <w:tcPr>
            <w:tcW w:w="877" w:type="dxa"/>
          </w:tcPr>
          <w:p w:rsidR="00381492" w:rsidRPr="00783E19" w:rsidRDefault="00381492" w:rsidP="00FC28F3">
            <w:pPr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783E19">
              <w:rPr>
                <w:rFonts w:ascii="Times New Roman" w:hAnsi="Times New Roman"/>
                <w:b/>
                <w:i/>
                <w:szCs w:val="20"/>
              </w:rPr>
              <w:t>Nr działki</w:t>
            </w:r>
          </w:p>
        </w:tc>
        <w:tc>
          <w:tcPr>
            <w:tcW w:w="1560" w:type="dxa"/>
          </w:tcPr>
          <w:p w:rsidR="00381492" w:rsidRPr="00783E19" w:rsidRDefault="00381492" w:rsidP="00FC28F3">
            <w:pPr>
              <w:jc w:val="center"/>
              <w:rPr>
                <w:rFonts w:ascii="Times New Roman" w:hAnsi="Times New Roman"/>
                <w:b/>
                <w:i/>
                <w:szCs w:val="20"/>
                <w:vertAlign w:val="superscript"/>
              </w:rPr>
            </w:pPr>
            <w:r w:rsidRPr="00783E19">
              <w:rPr>
                <w:rFonts w:ascii="Times New Roman" w:hAnsi="Times New Roman"/>
                <w:b/>
                <w:i/>
                <w:szCs w:val="20"/>
              </w:rPr>
              <w:t xml:space="preserve">Powierzchnia </w:t>
            </w:r>
            <w:r w:rsidR="003068AA">
              <w:rPr>
                <w:rFonts w:ascii="Times New Roman" w:hAnsi="Times New Roman"/>
                <w:b/>
                <w:i/>
                <w:szCs w:val="20"/>
              </w:rPr>
              <w:t xml:space="preserve">działki </w:t>
            </w:r>
            <w:r w:rsidRPr="00783E19">
              <w:rPr>
                <w:rFonts w:ascii="Times New Roman" w:hAnsi="Times New Roman"/>
                <w:b/>
                <w:i/>
                <w:szCs w:val="20"/>
              </w:rPr>
              <w:t>w m</w:t>
            </w:r>
            <w:r w:rsidRPr="00783E19">
              <w:rPr>
                <w:rFonts w:ascii="Times New Roman" w:hAnsi="Times New Roman"/>
                <w:b/>
                <w:i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381492" w:rsidRPr="00783E19" w:rsidRDefault="00AB4A32" w:rsidP="003068AA">
            <w:pPr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 xml:space="preserve">Nr </w:t>
            </w:r>
            <w:r w:rsidR="003068AA">
              <w:rPr>
                <w:rFonts w:ascii="Times New Roman" w:hAnsi="Times New Roman"/>
                <w:b/>
                <w:i/>
                <w:szCs w:val="20"/>
              </w:rPr>
              <w:t>k</w:t>
            </w:r>
            <w:r>
              <w:rPr>
                <w:rFonts w:ascii="Times New Roman" w:hAnsi="Times New Roman"/>
                <w:b/>
                <w:i/>
                <w:szCs w:val="20"/>
              </w:rPr>
              <w:t xml:space="preserve">sięgi </w:t>
            </w:r>
            <w:r w:rsidR="003068AA">
              <w:rPr>
                <w:rFonts w:ascii="Times New Roman" w:hAnsi="Times New Roman"/>
                <w:b/>
                <w:i/>
                <w:szCs w:val="20"/>
              </w:rPr>
              <w:t>w</w:t>
            </w:r>
            <w:r>
              <w:rPr>
                <w:rFonts w:ascii="Times New Roman" w:hAnsi="Times New Roman"/>
                <w:b/>
                <w:i/>
                <w:szCs w:val="20"/>
              </w:rPr>
              <w:t>ieczyste</w:t>
            </w:r>
            <w:r w:rsidR="003068AA">
              <w:rPr>
                <w:rFonts w:ascii="Times New Roman" w:hAnsi="Times New Roman"/>
                <w:b/>
                <w:i/>
                <w:szCs w:val="20"/>
              </w:rPr>
              <w:t>j</w:t>
            </w:r>
          </w:p>
        </w:tc>
        <w:tc>
          <w:tcPr>
            <w:tcW w:w="1418" w:type="dxa"/>
          </w:tcPr>
          <w:p w:rsidR="00381492" w:rsidRPr="00783E19" w:rsidRDefault="00381492" w:rsidP="00FC28F3">
            <w:pPr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783E19">
              <w:rPr>
                <w:rFonts w:ascii="Times New Roman" w:hAnsi="Times New Roman"/>
                <w:b/>
                <w:i/>
                <w:szCs w:val="20"/>
              </w:rPr>
              <w:t>Położenie</w:t>
            </w:r>
            <w:r w:rsidRPr="00783E19">
              <w:rPr>
                <w:rFonts w:ascii="Times New Roman" w:hAnsi="Times New Roman"/>
                <w:b/>
                <w:i/>
                <w:szCs w:val="20"/>
              </w:rPr>
              <w:br/>
              <w:t>Miejscowość</w:t>
            </w:r>
          </w:p>
        </w:tc>
        <w:tc>
          <w:tcPr>
            <w:tcW w:w="1275" w:type="dxa"/>
          </w:tcPr>
          <w:p w:rsidR="00381492" w:rsidRPr="00783E19" w:rsidRDefault="00381492" w:rsidP="00FC28F3">
            <w:pPr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783E19">
              <w:rPr>
                <w:rFonts w:ascii="Times New Roman" w:hAnsi="Times New Roman"/>
                <w:b/>
                <w:i/>
                <w:szCs w:val="20"/>
              </w:rPr>
              <w:t>Obręb Geodezyjny (nazwa i nr)</w:t>
            </w:r>
          </w:p>
        </w:tc>
        <w:tc>
          <w:tcPr>
            <w:tcW w:w="4253" w:type="dxa"/>
          </w:tcPr>
          <w:p w:rsidR="00381492" w:rsidRPr="00783E19" w:rsidRDefault="00381492" w:rsidP="00FC28F3">
            <w:pPr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783E19">
              <w:rPr>
                <w:rFonts w:ascii="Times New Roman" w:hAnsi="Times New Roman"/>
                <w:b/>
                <w:i/>
                <w:szCs w:val="20"/>
              </w:rPr>
              <w:t xml:space="preserve">Opis </w:t>
            </w:r>
            <w:r w:rsidR="003068AA">
              <w:rPr>
                <w:rFonts w:ascii="Times New Roman" w:hAnsi="Times New Roman"/>
                <w:b/>
                <w:i/>
                <w:szCs w:val="20"/>
              </w:rPr>
              <w:t>nieruchomości oraz  sposób zagospodarowania</w:t>
            </w:r>
          </w:p>
        </w:tc>
        <w:tc>
          <w:tcPr>
            <w:tcW w:w="2410" w:type="dxa"/>
          </w:tcPr>
          <w:p w:rsidR="00381492" w:rsidRPr="00783E19" w:rsidRDefault="00381492" w:rsidP="00FC28F3">
            <w:pPr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783E19">
              <w:rPr>
                <w:rFonts w:ascii="Times New Roman" w:hAnsi="Times New Roman"/>
                <w:b/>
                <w:i/>
                <w:szCs w:val="20"/>
              </w:rPr>
              <w:t>Przeznaczenie w planie</w:t>
            </w:r>
            <w:r w:rsidR="003068AA">
              <w:rPr>
                <w:rFonts w:ascii="Times New Roman" w:hAnsi="Times New Roman"/>
                <w:b/>
                <w:i/>
                <w:szCs w:val="20"/>
              </w:rPr>
              <w:t xml:space="preserve"> zagospodarowania przestrzennego </w:t>
            </w:r>
          </w:p>
        </w:tc>
        <w:tc>
          <w:tcPr>
            <w:tcW w:w="1701" w:type="dxa"/>
          </w:tcPr>
          <w:p w:rsidR="00381492" w:rsidRPr="00783E19" w:rsidRDefault="003068AA" w:rsidP="00FC28F3">
            <w:pPr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 xml:space="preserve">Cena nieruchomości </w:t>
            </w:r>
            <w:r w:rsidR="00381492" w:rsidRPr="00783E19">
              <w:rPr>
                <w:rFonts w:ascii="Times New Roman" w:hAnsi="Times New Roman"/>
                <w:b/>
                <w:i/>
                <w:szCs w:val="20"/>
              </w:rPr>
              <w:t xml:space="preserve"> w zł</w:t>
            </w:r>
          </w:p>
        </w:tc>
      </w:tr>
      <w:tr w:rsidR="00A228E5" w:rsidRPr="00D86FCB" w:rsidTr="00270ED7">
        <w:tc>
          <w:tcPr>
            <w:tcW w:w="541" w:type="dxa"/>
          </w:tcPr>
          <w:p w:rsidR="00381492" w:rsidRPr="00783E19" w:rsidRDefault="00381492" w:rsidP="00FC28F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83E19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877" w:type="dxa"/>
          </w:tcPr>
          <w:p w:rsidR="00381492" w:rsidRPr="00783E19" w:rsidRDefault="00381492" w:rsidP="00FC28F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83E19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1560" w:type="dxa"/>
          </w:tcPr>
          <w:p w:rsidR="00381492" w:rsidRPr="00783E19" w:rsidRDefault="00381492" w:rsidP="00FC28F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83E19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984" w:type="dxa"/>
          </w:tcPr>
          <w:p w:rsidR="00381492" w:rsidRPr="00783E19" w:rsidRDefault="00381492" w:rsidP="00FC28F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83E19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1418" w:type="dxa"/>
          </w:tcPr>
          <w:p w:rsidR="00381492" w:rsidRPr="00783E19" w:rsidRDefault="00381492" w:rsidP="00FC28F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83E19"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1275" w:type="dxa"/>
          </w:tcPr>
          <w:p w:rsidR="00381492" w:rsidRPr="00783E19" w:rsidRDefault="00381492" w:rsidP="00FC28F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83E19">
              <w:rPr>
                <w:rFonts w:ascii="Times New Roman" w:hAnsi="Times New Roman"/>
                <w:b/>
                <w:szCs w:val="20"/>
              </w:rPr>
              <w:t>6</w:t>
            </w:r>
          </w:p>
        </w:tc>
        <w:tc>
          <w:tcPr>
            <w:tcW w:w="4253" w:type="dxa"/>
          </w:tcPr>
          <w:p w:rsidR="00381492" w:rsidRPr="00783E19" w:rsidRDefault="00381492" w:rsidP="00FC28F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83E19">
              <w:rPr>
                <w:rFonts w:ascii="Times New Roman" w:hAnsi="Times New Roman"/>
                <w:b/>
                <w:szCs w:val="20"/>
              </w:rPr>
              <w:t>7</w:t>
            </w:r>
          </w:p>
        </w:tc>
        <w:tc>
          <w:tcPr>
            <w:tcW w:w="2410" w:type="dxa"/>
          </w:tcPr>
          <w:p w:rsidR="00381492" w:rsidRPr="00783E19" w:rsidRDefault="00381492" w:rsidP="00FC28F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83E19">
              <w:rPr>
                <w:rFonts w:ascii="Times New Roman" w:hAnsi="Times New Roman"/>
                <w:b/>
                <w:szCs w:val="20"/>
              </w:rPr>
              <w:t>8</w:t>
            </w:r>
          </w:p>
        </w:tc>
        <w:tc>
          <w:tcPr>
            <w:tcW w:w="1701" w:type="dxa"/>
          </w:tcPr>
          <w:p w:rsidR="00381492" w:rsidRPr="00783E19" w:rsidRDefault="00EA233F" w:rsidP="00FC28F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</w:t>
            </w:r>
            <w:r w:rsidR="00381492" w:rsidRPr="00783E19">
              <w:rPr>
                <w:rFonts w:ascii="Times New Roman" w:hAnsi="Times New Roman"/>
                <w:b/>
                <w:szCs w:val="20"/>
              </w:rPr>
              <w:t>9</w:t>
            </w:r>
          </w:p>
        </w:tc>
      </w:tr>
      <w:tr w:rsidR="00A228E5" w:rsidRPr="00D86FCB" w:rsidTr="00270ED7">
        <w:trPr>
          <w:trHeight w:val="2475"/>
        </w:trPr>
        <w:tc>
          <w:tcPr>
            <w:tcW w:w="541" w:type="dxa"/>
          </w:tcPr>
          <w:p w:rsidR="00A16626" w:rsidRPr="00A16626" w:rsidRDefault="00A16626" w:rsidP="00FC28F3">
            <w:pPr>
              <w:jc w:val="center"/>
              <w:rPr>
                <w:rFonts w:ascii="Times New Roman" w:hAnsi="Times New Roman"/>
                <w:szCs w:val="20"/>
              </w:rPr>
            </w:pPr>
            <w:r w:rsidRPr="00A1662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7" w:type="dxa"/>
          </w:tcPr>
          <w:p w:rsidR="00A16626" w:rsidRPr="00EA233F" w:rsidRDefault="00193FF3" w:rsidP="00FC28F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640/11</w:t>
            </w:r>
          </w:p>
        </w:tc>
        <w:tc>
          <w:tcPr>
            <w:tcW w:w="1560" w:type="dxa"/>
          </w:tcPr>
          <w:p w:rsidR="00A16626" w:rsidRPr="00EA233F" w:rsidRDefault="00193FF3" w:rsidP="00FC28F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5884</w:t>
            </w:r>
          </w:p>
        </w:tc>
        <w:tc>
          <w:tcPr>
            <w:tcW w:w="1984" w:type="dxa"/>
          </w:tcPr>
          <w:p w:rsidR="00A16626" w:rsidRPr="00EA233F" w:rsidRDefault="00193FF3" w:rsidP="002F07B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ZA1H/00080914/5</w:t>
            </w:r>
          </w:p>
        </w:tc>
        <w:tc>
          <w:tcPr>
            <w:tcW w:w="1418" w:type="dxa"/>
          </w:tcPr>
          <w:p w:rsidR="0084421E" w:rsidRDefault="0084421E" w:rsidP="00FC28F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Mircze ul. Górna 4 A,</w:t>
            </w:r>
          </w:p>
          <w:p w:rsidR="00A16626" w:rsidRPr="00EA233F" w:rsidRDefault="0084421E" w:rsidP="00FC28F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4 B, 4C</w:t>
            </w:r>
          </w:p>
        </w:tc>
        <w:tc>
          <w:tcPr>
            <w:tcW w:w="1275" w:type="dxa"/>
          </w:tcPr>
          <w:p w:rsidR="00A63268" w:rsidRPr="00EA233F" w:rsidRDefault="0084421E" w:rsidP="00FC28F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 Mircze</w:t>
            </w:r>
          </w:p>
        </w:tc>
        <w:tc>
          <w:tcPr>
            <w:tcW w:w="4253" w:type="dxa"/>
          </w:tcPr>
          <w:p w:rsidR="00E14719" w:rsidRDefault="00C83730" w:rsidP="004777A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</w:t>
            </w:r>
            <w:r w:rsidRPr="00E14719">
              <w:rPr>
                <w:rFonts w:ascii="Times New Roman" w:hAnsi="Times New Roman"/>
                <w:szCs w:val="20"/>
              </w:rPr>
              <w:t>n</w:t>
            </w:r>
            <w:r w:rsidR="00EA233F" w:rsidRPr="00E14719">
              <w:rPr>
                <w:rFonts w:ascii="Times New Roman" w:hAnsi="Times New Roman"/>
                <w:szCs w:val="20"/>
              </w:rPr>
              <w:t>ieruchomość gruntowa</w:t>
            </w:r>
            <w:r w:rsidR="0084421E" w:rsidRPr="00E14719">
              <w:rPr>
                <w:rFonts w:ascii="Times New Roman" w:hAnsi="Times New Roman"/>
                <w:szCs w:val="20"/>
              </w:rPr>
              <w:t xml:space="preserve"> </w:t>
            </w:r>
            <w:r w:rsidR="00EA233F" w:rsidRPr="00E14719">
              <w:rPr>
                <w:rFonts w:ascii="Times New Roman" w:hAnsi="Times New Roman"/>
                <w:szCs w:val="20"/>
              </w:rPr>
              <w:t>zabudowana</w:t>
            </w:r>
            <w:r w:rsidR="006359E4" w:rsidRPr="00E14719">
              <w:rPr>
                <w:rFonts w:ascii="Times New Roman" w:hAnsi="Times New Roman"/>
                <w:szCs w:val="20"/>
              </w:rPr>
              <w:t xml:space="preserve"> </w:t>
            </w:r>
            <w:r w:rsidR="00E14719">
              <w:rPr>
                <w:rFonts w:ascii="Times New Roman" w:hAnsi="Times New Roman"/>
                <w:szCs w:val="20"/>
              </w:rPr>
              <w:t xml:space="preserve">budynkiem </w:t>
            </w:r>
            <w:r w:rsidR="00E14719" w:rsidRPr="00E14719">
              <w:rPr>
                <w:rFonts w:ascii="Times New Roman" w:hAnsi="Times New Roman"/>
              </w:rPr>
              <w:t>garażu o pow. użytkowej 296,50 m</w:t>
            </w:r>
            <w:r w:rsidR="00E14719" w:rsidRPr="00E14719">
              <w:rPr>
                <w:rFonts w:ascii="Times New Roman" w:hAnsi="Times New Roman"/>
                <w:vertAlign w:val="superscript"/>
              </w:rPr>
              <w:t>2</w:t>
            </w:r>
            <w:r w:rsidR="00E14719" w:rsidRPr="00E14719">
              <w:rPr>
                <w:rFonts w:ascii="Times New Roman" w:hAnsi="Times New Roman"/>
              </w:rPr>
              <w:t>, b</w:t>
            </w:r>
            <w:r w:rsidR="00E14719" w:rsidRPr="00E14719">
              <w:rPr>
                <w:rFonts w:ascii="Times New Roman" w:hAnsi="Times New Roman"/>
                <w:color w:val="000000"/>
              </w:rPr>
              <w:t>udynkiem garażu o pow. użytkowej  252,20 m</w:t>
            </w:r>
            <w:r w:rsidR="00E14719" w:rsidRPr="00E14719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="00E14719" w:rsidRPr="00E14719">
              <w:rPr>
                <w:rFonts w:ascii="Times New Roman" w:hAnsi="Times New Roman"/>
                <w:color w:val="000000"/>
              </w:rPr>
              <w:t xml:space="preserve">, </w:t>
            </w:r>
            <w:r w:rsidR="00E14719" w:rsidRPr="00E14719">
              <w:rPr>
                <w:rFonts w:ascii="Times New Roman" w:hAnsi="Times New Roman"/>
              </w:rPr>
              <w:t>bu</w:t>
            </w:r>
            <w:r w:rsidR="00E14719" w:rsidRPr="00E14719">
              <w:rPr>
                <w:rFonts w:ascii="Times New Roman" w:hAnsi="Times New Roman"/>
                <w:color w:val="000000"/>
              </w:rPr>
              <w:t>dynkiem biurowo-socjalnym o pow. użytkowej 136,80 m</w:t>
            </w:r>
            <w:r w:rsidR="00E14719" w:rsidRPr="00E14719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="00E14719" w:rsidRPr="00E14719">
              <w:rPr>
                <w:rFonts w:ascii="Times New Roman" w:hAnsi="Times New Roman"/>
                <w:color w:val="000000"/>
              </w:rPr>
              <w:t>, budynkiem kotłowni o pow. użytkowej 222,20 m</w:t>
            </w:r>
            <w:r w:rsidR="00E14719" w:rsidRPr="00E14719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="00E14719" w:rsidRPr="00E14719">
              <w:rPr>
                <w:rFonts w:ascii="Times New Roman" w:hAnsi="Times New Roman"/>
                <w:color w:val="000000"/>
              </w:rPr>
              <w:t>,  b</w:t>
            </w:r>
            <w:r w:rsidR="00E14719" w:rsidRPr="00E14719">
              <w:rPr>
                <w:rFonts w:ascii="Times New Roman" w:hAnsi="Times New Roman"/>
                <w:color w:val="000000"/>
                <w:szCs w:val="20"/>
              </w:rPr>
              <w:t>udynkiem s</w:t>
            </w:r>
            <w:r w:rsidR="00E14719" w:rsidRPr="00E14719">
              <w:rPr>
                <w:rFonts w:ascii="Times New Roman" w:hAnsi="Times New Roman"/>
              </w:rPr>
              <w:t xml:space="preserve">tacji </w:t>
            </w:r>
            <w:proofErr w:type="spellStart"/>
            <w:r w:rsidR="00E14719" w:rsidRPr="00E14719">
              <w:rPr>
                <w:rFonts w:ascii="Times New Roman" w:hAnsi="Times New Roman"/>
              </w:rPr>
              <w:t>trafo</w:t>
            </w:r>
            <w:proofErr w:type="spellEnd"/>
            <w:r w:rsidR="00E14719" w:rsidRPr="00E14719">
              <w:rPr>
                <w:rFonts w:ascii="Times New Roman" w:hAnsi="Times New Roman"/>
              </w:rPr>
              <w:t xml:space="preserve"> o pow. 13,00 m</w:t>
            </w:r>
            <w:r w:rsidR="00E14719" w:rsidRPr="00E14719">
              <w:rPr>
                <w:rFonts w:ascii="Times New Roman" w:hAnsi="Times New Roman"/>
                <w:vertAlign w:val="superscript"/>
              </w:rPr>
              <w:t>2</w:t>
            </w:r>
            <w:r w:rsidR="00E90097" w:rsidRPr="00E14719">
              <w:rPr>
                <w:rFonts w:ascii="Times New Roman" w:hAnsi="Times New Roman"/>
                <w:szCs w:val="20"/>
              </w:rPr>
              <w:t xml:space="preserve">, </w:t>
            </w:r>
          </w:p>
          <w:p w:rsidR="00AA5FCC" w:rsidRPr="00E14719" w:rsidRDefault="00E14719" w:rsidP="004777A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 </w:t>
            </w:r>
            <w:r w:rsidR="00AA5FCC" w:rsidRPr="00E14719">
              <w:rPr>
                <w:rFonts w:ascii="Times New Roman" w:hAnsi="Times New Roman"/>
                <w:szCs w:val="20"/>
              </w:rPr>
              <w:t>rzeźba terenu płaska,</w:t>
            </w:r>
          </w:p>
          <w:p w:rsidR="00AA5FCC" w:rsidRDefault="00AA5FCC" w:rsidP="004777A3">
            <w:pPr>
              <w:jc w:val="both"/>
              <w:rPr>
                <w:rFonts w:ascii="Times New Roman" w:hAnsi="Times New Roman"/>
                <w:szCs w:val="20"/>
              </w:rPr>
            </w:pPr>
            <w:r w:rsidRPr="00E14719">
              <w:rPr>
                <w:rFonts w:ascii="Times New Roman" w:hAnsi="Times New Roman"/>
                <w:szCs w:val="20"/>
              </w:rPr>
              <w:t>- n</w:t>
            </w:r>
            <w:r w:rsidR="00EA233F" w:rsidRPr="00E14719">
              <w:rPr>
                <w:rFonts w:ascii="Times New Roman" w:hAnsi="Times New Roman"/>
                <w:szCs w:val="20"/>
              </w:rPr>
              <w:t xml:space="preserve">ieruchomość oznaczona w  ewidencji gruntów jako </w:t>
            </w:r>
            <w:r w:rsidR="00256F3D" w:rsidRPr="00E14719">
              <w:rPr>
                <w:rFonts w:ascii="Times New Roman" w:hAnsi="Times New Roman"/>
                <w:szCs w:val="20"/>
              </w:rPr>
              <w:t>Bi -0,5884</w:t>
            </w:r>
            <w:r w:rsidR="00EA233F" w:rsidRPr="00E14719">
              <w:rPr>
                <w:rFonts w:ascii="Times New Roman" w:hAnsi="Times New Roman"/>
                <w:szCs w:val="20"/>
              </w:rPr>
              <w:t xml:space="preserve"> ha</w:t>
            </w:r>
            <w:r w:rsidR="00EA233F" w:rsidRPr="00EA233F">
              <w:rPr>
                <w:rFonts w:ascii="Times New Roman" w:hAnsi="Times New Roman"/>
                <w:szCs w:val="20"/>
              </w:rPr>
              <w:t>,</w:t>
            </w:r>
            <w:r w:rsidR="00EA233F">
              <w:rPr>
                <w:rFonts w:ascii="Times New Roman" w:hAnsi="Times New Roman"/>
                <w:szCs w:val="20"/>
              </w:rPr>
              <w:t xml:space="preserve"> </w:t>
            </w:r>
            <w:r w:rsidR="00076EA5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 n</w:t>
            </w:r>
            <w:r w:rsidR="00EA233F" w:rsidRPr="00EA233F">
              <w:rPr>
                <w:rFonts w:ascii="Times New Roman" w:hAnsi="Times New Roman"/>
                <w:szCs w:val="20"/>
              </w:rPr>
              <w:t xml:space="preserve">ieogrodzona, </w:t>
            </w:r>
          </w:p>
          <w:p w:rsidR="005A46FD" w:rsidRDefault="00AA5FCC" w:rsidP="004777A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działka </w:t>
            </w:r>
            <w:r w:rsidR="00EA233F">
              <w:rPr>
                <w:rFonts w:ascii="Times New Roman" w:hAnsi="Times New Roman"/>
                <w:szCs w:val="20"/>
              </w:rPr>
              <w:t xml:space="preserve"> </w:t>
            </w:r>
            <w:r w:rsidR="00EA233F" w:rsidRPr="00EA233F">
              <w:rPr>
                <w:rFonts w:ascii="Times New Roman" w:hAnsi="Times New Roman"/>
                <w:szCs w:val="20"/>
              </w:rPr>
              <w:t>posiada bezpośredni dostęp do drog</w:t>
            </w:r>
            <w:r>
              <w:rPr>
                <w:rFonts w:ascii="Times New Roman" w:hAnsi="Times New Roman"/>
                <w:szCs w:val="20"/>
              </w:rPr>
              <w:t>i</w:t>
            </w:r>
            <w:r w:rsidR="00256F3D">
              <w:rPr>
                <w:rFonts w:ascii="Times New Roman" w:hAnsi="Times New Roman"/>
                <w:szCs w:val="20"/>
              </w:rPr>
              <w:t xml:space="preserve"> wewnętrznej</w:t>
            </w:r>
            <w:r w:rsidR="005A46FD">
              <w:rPr>
                <w:rFonts w:ascii="Times New Roman" w:hAnsi="Times New Roman"/>
                <w:szCs w:val="20"/>
              </w:rPr>
              <w:t xml:space="preserve"> (właścicielowi działki 640/11 przysługuje służebność gruntowa polegająca na prawie przejazdu i przechodu przez działkę  nr 640/9)</w:t>
            </w:r>
          </w:p>
          <w:p w:rsidR="00256F3D" w:rsidRDefault="005A46FD" w:rsidP="004777A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  <w:r w:rsidR="00256F3D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nieruchomość </w:t>
            </w:r>
            <w:r w:rsidR="00256F3D">
              <w:rPr>
                <w:rFonts w:ascii="Times New Roman" w:hAnsi="Times New Roman"/>
                <w:szCs w:val="20"/>
              </w:rPr>
              <w:t xml:space="preserve">położona na terenie </w:t>
            </w:r>
          </w:p>
          <w:p w:rsidR="00A16626" w:rsidRDefault="00256F3D" w:rsidP="004777A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b. POM</w:t>
            </w:r>
          </w:p>
          <w:p w:rsidR="00256F3D" w:rsidRDefault="00256F3D" w:rsidP="004777A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Opis budynków :</w:t>
            </w:r>
          </w:p>
          <w:p w:rsidR="00256F3D" w:rsidRPr="00256F3D" w:rsidRDefault="00256F3D" w:rsidP="004777A3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56F3D"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r w:rsidRPr="00256F3D">
              <w:rPr>
                <w:rFonts w:ascii="Times New Roman" w:hAnsi="Times New Roman"/>
                <w:szCs w:val="24"/>
              </w:rPr>
              <w:t xml:space="preserve"> Budynek garażu  </w:t>
            </w:r>
            <w:r>
              <w:rPr>
                <w:rFonts w:ascii="Times New Roman" w:hAnsi="Times New Roman"/>
                <w:szCs w:val="24"/>
              </w:rPr>
              <w:t xml:space="preserve">o pow. użytkowej </w:t>
            </w:r>
            <w:r w:rsidRPr="00256F3D">
              <w:rPr>
                <w:rFonts w:ascii="Times New Roman" w:hAnsi="Times New Roman"/>
                <w:szCs w:val="24"/>
              </w:rPr>
              <w:t>296,50 m2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4777A3">
              <w:rPr>
                <w:rFonts w:ascii="Times New Roman" w:hAnsi="Times New Roman"/>
                <w:szCs w:val="24"/>
              </w:rPr>
              <w:t xml:space="preserve"> </w:t>
            </w:r>
            <w:r w:rsidRPr="00256F3D">
              <w:rPr>
                <w:rFonts w:ascii="Times New Roman" w:hAnsi="Times New Roman"/>
                <w:color w:val="000000"/>
                <w:szCs w:val="24"/>
              </w:rPr>
              <w:t>Budynek parterowy, wolnostojący,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nie podpiwniczony,</w:t>
            </w:r>
            <w:r w:rsidRPr="00256F3D">
              <w:rPr>
                <w:rFonts w:ascii="Times New Roman" w:hAnsi="Times New Roman"/>
                <w:color w:val="000000"/>
                <w:szCs w:val="24"/>
              </w:rPr>
              <w:t xml:space="preserve"> konstrukcji murowano-stalowej. Ściany osłonowe murowane z cegły dziurawki dużej wapienno-piaskowej, ściany działowe z pustaków żużlowych, na fundamentach betonowych. Dach jedno spadowy kryty blach</w:t>
            </w:r>
            <w:r w:rsidR="008719C6">
              <w:rPr>
                <w:rFonts w:ascii="Times New Roman" w:hAnsi="Times New Roman"/>
                <w:color w:val="000000"/>
                <w:szCs w:val="24"/>
              </w:rPr>
              <w:t>ą</w:t>
            </w:r>
            <w:r w:rsidRPr="00256F3D">
              <w:rPr>
                <w:rFonts w:ascii="Times New Roman" w:hAnsi="Times New Roman"/>
                <w:color w:val="000000"/>
                <w:szCs w:val="24"/>
              </w:rPr>
              <w:t xml:space="preserve"> falistą ocynkowan</w:t>
            </w:r>
            <w:r w:rsidR="008719C6">
              <w:rPr>
                <w:rFonts w:ascii="Times New Roman" w:hAnsi="Times New Roman"/>
                <w:color w:val="000000"/>
                <w:szCs w:val="24"/>
              </w:rPr>
              <w:t>ą</w:t>
            </w:r>
            <w:r w:rsidRPr="00256F3D">
              <w:rPr>
                <w:rFonts w:ascii="Times New Roman" w:hAnsi="Times New Roman"/>
                <w:color w:val="000000"/>
                <w:szCs w:val="24"/>
              </w:rPr>
              <w:t xml:space="preserve">. Budynek </w:t>
            </w:r>
            <w:proofErr w:type="spellStart"/>
            <w:r w:rsidRPr="00256F3D">
              <w:rPr>
                <w:rFonts w:ascii="Times New Roman" w:hAnsi="Times New Roman"/>
                <w:color w:val="000000"/>
                <w:szCs w:val="24"/>
              </w:rPr>
              <w:t>pięcio</w:t>
            </w:r>
            <w:proofErr w:type="spellEnd"/>
            <w:r w:rsidRPr="00256F3D">
              <w:rPr>
                <w:rFonts w:ascii="Times New Roman" w:hAnsi="Times New Roman"/>
                <w:color w:val="000000"/>
                <w:szCs w:val="24"/>
              </w:rPr>
              <w:t xml:space="preserve"> segmentowy z bramami 2-u skrzydłowymi.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Stolarka okienna stalowa w ścianie tylnej budynku. Stan techniczny budynku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zadowalający.</w:t>
            </w:r>
          </w:p>
          <w:p w:rsidR="00256F3D" w:rsidRPr="00256F3D" w:rsidRDefault="00256F3D" w:rsidP="004777A3">
            <w:pPr>
              <w:snapToGrid w:val="0"/>
              <w:ind w:left="79" w:hanging="79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256F3D">
              <w:rPr>
                <w:rFonts w:ascii="Times New Roman" w:hAnsi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</w:rPr>
              <w:t>)</w:t>
            </w:r>
            <w:r w:rsidR="003B4AF4" w:rsidRPr="00B67FBB">
              <w:rPr>
                <w:rFonts w:ascii="Times New Roman" w:hAnsi="Times New Roman"/>
                <w:color w:val="000000"/>
              </w:rPr>
              <w:t xml:space="preserve">Budynek garażu o pow. </w:t>
            </w:r>
            <w:r w:rsidR="00B67FBB" w:rsidRPr="00B67FBB">
              <w:rPr>
                <w:rFonts w:ascii="Times New Roman" w:hAnsi="Times New Roman"/>
                <w:color w:val="000000"/>
              </w:rPr>
              <w:t xml:space="preserve">użytkowej </w:t>
            </w:r>
            <w:r w:rsidR="003B4AF4" w:rsidRPr="00B67FBB">
              <w:rPr>
                <w:rFonts w:ascii="Times New Roman" w:hAnsi="Times New Roman"/>
                <w:color w:val="000000"/>
              </w:rPr>
              <w:t>252,20 m2</w:t>
            </w:r>
            <w:r w:rsidR="00B67FBB">
              <w:rPr>
                <w:rFonts w:ascii="Times New Roman" w:hAnsi="Times New Roman"/>
                <w:color w:val="000000"/>
              </w:rPr>
              <w:t>.</w:t>
            </w:r>
            <w:r w:rsidR="00B67F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256F3D">
              <w:rPr>
                <w:rFonts w:ascii="Times New Roman" w:hAnsi="Times New Roman"/>
                <w:color w:val="000000"/>
              </w:rPr>
              <w:t xml:space="preserve">Budynek parterowy, wolnostojący, </w:t>
            </w:r>
            <w:r w:rsidR="00B67FBB">
              <w:rPr>
                <w:rFonts w:ascii="Times New Roman" w:hAnsi="Times New Roman"/>
                <w:color w:val="000000"/>
              </w:rPr>
              <w:t xml:space="preserve"> nie podpiwniczony, </w:t>
            </w:r>
            <w:r w:rsidRPr="00256F3D">
              <w:rPr>
                <w:rFonts w:ascii="Times New Roman" w:hAnsi="Times New Roman"/>
                <w:color w:val="000000"/>
              </w:rPr>
              <w:t>konstrukcji murowano-drewnianej. Ściana frontowa wypełniona bramami drewnianymi 2-u skrzydłowymi, 10 bram w budynku 10-o segmentowym. Ściany boczne i tylna murowane, okna drewniane w ścianie tylnej z ubytkami szkła. Dach konstrukcji drewnianej, 4 – o spadowy, pokrycie eternit falisty.</w:t>
            </w:r>
            <w:r w:rsidR="00B67FBB">
              <w:rPr>
                <w:rFonts w:ascii="Times New Roman" w:hAnsi="Times New Roman"/>
                <w:color w:val="000000"/>
              </w:rPr>
              <w:t xml:space="preserve"> W stropie deski. Brak podłoży betonowych. Stan techniczny mnij niż średni. </w:t>
            </w:r>
          </w:p>
          <w:p w:rsidR="00256F3D" w:rsidRPr="00256F3D" w:rsidRDefault="00256F3D" w:rsidP="004777A3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F3D">
              <w:rPr>
                <w:rFonts w:ascii="Times New Roman" w:hAnsi="Times New Roman"/>
                <w:color w:val="000000"/>
              </w:rPr>
              <w:t>3</w:t>
            </w:r>
            <w:r w:rsidR="00084B00">
              <w:rPr>
                <w:rFonts w:ascii="Times New Roman" w:hAnsi="Times New Roman"/>
                <w:color w:val="000000"/>
              </w:rPr>
              <w:t>)</w:t>
            </w:r>
            <w:r w:rsidRPr="00256F3D">
              <w:rPr>
                <w:rFonts w:ascii="Times New Roman" w:hAnsi="Times New Roman"/>
                <w:color w:val="000000"/>
              </w:rPr>
              <w:t xml:space="preserve"> </w:t>
            </w:r>
            <w:r w:rsidR="00084B00" w:rsidRPr="00084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Budynek biurowo-socjalny o pow. </w:t>
            </w:r>
            <w:r w:rsidR="00084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użytkowej </w:t>
            </w:r>
            <w:r w:rsidR="00084B00" w:rsidRPr="00084B00">
              <w:rPr>
                <w:rFonts w:ascii="Times New Roman" w:hAnsi="Times New Roman"/>
                <w:color w:val="000000"/>
                <w:sz w:val="24"/>
                <w:szCs w:val="24"/>
              </w:rPr>
              <w:t>136,80 m2</w:t>
            </w:r>
            <w:r w:rsidR="00084B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56F3D">
              <w:rPr>
                <w:rFonts w:ascii="Times New Roman" w:hAnsi="Times New Roman"/>
                <w:color w:val="000000"/>
              </w:rPr>
              <w:t xml:space="preserve">Budynek  piętrowy, wolnostojący, dobudowany do budynku kotłowni, </w:t>
            </w:r>
            <w:r w:rsidR="00084B00">
              <w:rPr>
                <w:rFonts w:ascii="Times New Roman" w:hAnsi="Times New Roman"/>
                <w:color w:val="000000"/>
              </w:rPr>
              <w:t xml:space="preserve">nie podpiwniczony, </w:t>
            </w:r>
            <w:r w:rsidRPr="00256F3D">
              <w:rPr>
                <w:rFonts w:ascii="Times New Roman" w:hAnsi="Times New Roman"/>
                <w:color w:val="000000"/>
              </w:rPr>
              <w:t>konstrukcji murowano-prefabrykowanej</w:t>
            </w:r>
            <w:r w:rsidR="00084B00">
              <w:rPr>
                <w:rFonts w:ascii="Times New Roman" w:hAnsi="Times New Roman"/>
                <w:color w:val="000000"/>
              </w:rPr>
              <w:t>.</w:t>
            </w:r>
            <w:r w:rsidR="008719C6">
              <w:rPr>
                <w:rFonts w:ascii="Times New Roman" w:hAnsi="Times New Roman"/>
                <w:color w:val="000000"/>
              </w:rPr>
              <w:t xml:space="preserve"> </w:t>
            </w:r>
            <w:r w:rsidR="00084B00">
              <w:rPr>
                <w:rFonts w:ascii="Times New Roman" w:hAnsi="Times New Roman"/>
                <w:color w:val="000000"/>
              </w:rPr>
              <w:t>Ściany murowane na fundamentach,, strop nad parterem monolityczny, stropodach płaski, 1-o spadowy monolityczny ,</w:t>
            </w:r>
            <w:r w:rsidRPr="00256F3D">
              <w:rPr>
                <w:rFonts w:ascii="Times New Roman" w:hAnsi="Times New Roman"/>
                <w:color w:val="000000"/>
              </w:rPr>
              <w:t xml:space="preserve"> pokrycie papowe</w:t>
            </w:r>
            <w:r w:rsidR="00084B00">
              <w:rPr>
                <w:rFonts w:ascii="Times New Roman" w:hAnsi="Times New Roman"/>
                <w:color w:val="000000"/>
              </w:rPr>
              <w:t>. Stolarka drzwiowa zewnętrzna stalowa, stolarka okienna drewniana typu zespolonego, typowo biurowa. D</w:t>
            </w:r>
            <w:r w:rsidRPr="00256F3D">
              <w:rPr>
                <w:rFonts w:ascii="Times New Roman" w:hAnsi="Times New Roman"/>
                <w:color w:val="000000"/>
              </w:rPr>
              <w:t>ojście porośnięte dziko rosnącymi krzewami. Budynek zbudowano do stanu surowego zamkniętego</w:t>
            </w:r>
            <w:r w:rsidR="00084B00">
              <w:rPr>
                <w:rFonts w:ascii="Times New Roman" w:hAnsi="Times New Roman"/>
                <w:color w:val="000000"/>
              </w:rPr>
              <w:t>, nie był oddany do użytku, nigdy nie funkcjonował. St</w:t>
            </w:r>
            <w:r w:rsidRPr="00256F3D">
              <w:rPr>
                <w:rFonts w:ascii="Times New Roman" w:hAnsi="Times New Roman"/>
                <w:color w:val="000000"/>
              </w:rPr>
              <w:t>a</w:t>
            </w:r>
            <w:r w:rsidR="00084B00">
              <w:rPr>
                <w:rFonts w:ascii="Times New Roman" w:hAnsi="Times New Roman"/>
                <w:color w:val="000000"/>
              </w:rPr>
              <w:t>n</w:t>
            </w:r>
            <w:r w:rsidRPr="00256F3D">
              <w:rPr>
                <w:rFonts w:ascii="Times New Roman" w:hAnsi="Times New Roman"/>
                <w:color w:val="000000"/>
              </w:rPr>
              <w:t xml:space="preserve">  techniczny</w:t>
            </w:r>
            <w:r w:rsidR="00084B00">
              <w:rPr>
                <w:rFonts w:ascii="Times New Roman" w:hAnsi="Times New Roman"/>
                <w:color w:val="000000"/>
              </w:rPr>
              <w:t xml:space="preserve"> budynku średni.</w:t>
            </w:r>
          </w:p>
          <w:p w:rsidR="00256F3D" w:rsidRPr="00256F3D" w:rsidRDefault="00BC5705" w:rsidP="004777A3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4) </w:t>
            </w:r>
            <w:r w:rsidR="00256F3D" w:rsidRPr="00256F3D">
              <w:rPr>
                <w:rFonts w:ascii="Times New Roman" w:hAnsi="Times New Roman"/>
                <w:color w:val="000000"/>
              </w:rPr>
              <w:t xml:space="preserve"> </w:t>
            </w:r>
            <w:r w:rsidR="009A2D7B" w:rsidRPr="005757BC">
              <w:rPr>
                <w:rFonts w:ascii="Times New Roman" w:hAnsi="Times New Roman"/>
                <w:color w:val="000000"/>
              </w:rPr>
              <w:t>Bu</w:t>
            </w:r>
            <w:r w:rsidR="005757BC" w:rsidRPr="005757BC">
              <w:rPr>
                <w:rFonts w:ascii="Times New Roman" w:hAnsi="Times New Roman"/>
                <w:color w:val="000000"/>
              </w:rPr>
              <w:t>dynek kotłowni o pow. użytkowej 222,20 m2</w:t>
            </w:r>
            <w:r w:rsidR="005757BC">
              <w:rPr>
                <w:rFonts w:ascii="Times New Roman" w:hAnsi="Times New Roman"/>
                <w:color w:val="000000"/>
              </w:rPr>
              <w:t xml:space="preserve">. </w:t>
            </w:r>
            <w:r w:rsidR="00256F3D" w:rsidRPr="00256F3D">
              <w:rPr>
                <w:rFonts w:ascii="Times New Roman" w:hAnsi="Times New Roman"/>
                <w:color w:val="000000"/>
              </w:rPr>
              <w:t>Budynek kotłowni  parterowy z dobudówk</w:t>
            </w:r>
            <w:r w:rsidR="004453BF">
              <w:rPr>
                <w:rFonts w:ascii="Times New Roman" w:hAnsi="Times New Roman"/>
                <w:color w:val="000000"/>
              </w:rPr>
              <w:t>ą od strony północnej</w:t>
            </w:r>
            <w:r w:rsidR="00256F3D" w:rsidRPr="00256F3D">
              <w:rPr>
                <w:rFonts w:ascii="Times New Roman" w:hAnsi="Times New Roman"/>
                <w:color w:val="000000"/>
              </w:rPr>
              <w:t>, wolnostojący, konstrukcji murowano-żelbetowo-stalowej</w:t>
            </w:r>
            <w:r w:rsidR="003113A0">
              <w:rPr>
                <w:rFonts w:ascii="Times New Roman" w:hAnsi="Times New Roman"/>
                <w:color w:val="000000"/>
              </w:rPr>
              <w:t>.</w:t>
            </w:r>
            <w:r w:rsidR="00256F3D" w:rsidRPr="00256F3D">
              <w:rPr>
                <w:rFonts w:ascii="Times New Roman" w:hAnsi="Times New Roman"/>
                <w:color w:val="000000"/>
              </w:rPr>
              <w:t xml:space="preserve">  </w:t>
            </w:r>
            <w:r w:rsidR="003113A0" w:rsidRPr="00256F3D">
              <w:rPr>
                <w:rFonts w:ascii="Times New Roman" w:hAnsi="Times New Roman"/>
                <w:color w:val="000000"/>
              </w:rPr>
              <w:t>Dobudówka piętrowa o ścianach murowanych</w:t>
            </w:r>
            <w:r w:rsidR="003113A0">
              <w:rPr>
                <w:rFonts w:ascii="Times New Roman" w:hAnsi="Times New Roman"/>
                <w:color w:val="000000"/>
              </w:rPr>
              <w:t xml:space="preserve">, strop monolityczny, stropodach płaski monolityczny, </w:t>
            </w:r>
            <w:r w:rsidR="003113A0" w:rsidRPr="00256F3D">
              <w:rPr>
                <w:rFonts w:ascii="Times New Roman" w:hAnsi="Times New Roman"/>
                <w:color w:val="000000"/>
              </w:rPr>
              <w:t>pokrycie papowe</w:t>
            </w:r>
            <w:r w:rsidR="003113A0">
              <w:rPr>
                <w:rFonts w:ascii="Times New Roman" w:hAnsi="Times New Roman"/>
                <w:color w:val="000000"/>
              </w:rPr>
              <w:t>. Kotłownia : konstrukcja stalowa obmurowana, stropy stalowe ścian w stopach żelbetowych, na słupach ścian wspiera się konstrukcja stalowa /2-u spadowa/ dachu, pokrycie blach</w:t>
            </w:r>
            <w:r w:rsidR="00E45D49">
              <w:rPr>
                <w:rFonts w:ascii="Times New Roman" w:hAnsi="Times New Roman"/>
                <w:color w:val="000000"/>
              </w:rPr>
              <w:t>ą</w:t>
            </w:r>
            <w:r w:rsidR="003113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113A0">
              <w:rPr>
                <w:rFonts w:ascii="Times New Roman" w:hAnsi="Times New Roman"/>
                <w:color w:val="000000"/>
              </w:rPr>
              <w:t>oc</w:t>
            </w:r>
            <w:proofErr w:type="spellEnd"/>
            <w:r w:rsidR="003113A0">
              <w:rPr>
                <w:rFonts w:ascii="Times New Roman" w:hAnsi="Times New Roman"/>
                <w:color w:val="000000"/>
              </w:rPr>
              <w:t xml:space="preserve"> trapezow</w:t>
            </w:r>
            <w:r w:rsidR="00E45D49">
              <w:rPr>
                <w:rFonts w:ascii="Times New Roman" w:hAnsi="Times New Roman"/>
                <w:color w:val="000000"/>
              </w:rPr>
              <w:t>ą</w:t>
            </w:r>
            <w:r w:rsidR="003113A0">
              <w:rPr>
                <w:rFonts w:ascii="Times New Roman" w:hAnsi="Times New Roman"/>
                <w:color w:val="000000"/>
              </w:rPr>
              <w:t>. S</w:t>
            </w:r>
            <w:r w:rsidR="00256F3D" w:rsidRPr="00256F3D">
              <w:rPr>
                <w:rFonts w:ascii="Times New Roman" w:hAnsi="Times New Roman"/>
                <w:color w:val="000000"/>
              </w:rPr>
              <w:t xml:space="preserve">tolarka okienno-drzwiowa </w:t>
            </w:r>
            <w:r w:rsidR="003113A0">
              <w:rPr>
                <w:rFonts w:ascii="Times New Roman" w:hAnsi="Times New Roman"/>
                <w:color w:val="000000"/>
              </w:rPr>
              <w:t>stalowa</w:t>
            </w:r>
            <w:r w:rsidR="00256F3D" w:rsidRPr="00256F3D">
              <w:rPr>
                <w:rFonts w:ascii="Times New Roman" w:hAnsi="Times New Roman"/>
                <w:color w:val="000000"/>
              </w:rPr>
              <w:t xml:space="preserve">, dojście porośnięte dziko rosnącymi krzewami. Budynek zbudowano do stanu surowego </w:t>
            </w:r>
            <w:r w:rsidR="00256F3D" w:rsidRPr="00256F3D">
              <w:rPr>
                <w:rFonts w:ascii="Times New Roman" w:hAnsi="Times New Roman"/>
                <w:color w:val="000000"/>
              </w:rPr>
              <w:lastRenderedPageBreak/>
              <w:t>zamkniętego</w:t>
            </w:r>
            <w:r w:rsidR="003113A0">
              <w:rPr>
                <w:rFonts w:ascii="Times New Roman" w:hAnsi="Times New Roman"/>
                <w:color w:val="000000"/>
              </w:rPr>
              <w:t>, bez podłoży betonowych, budynek nie był dokończony i nie funkcjonował. Do budynku kotłowni od strony południowej dobudowano budynek biurowo-socjalny.</w:t>
            </w:r>
            <w:r w:rsidR="00256F3D" w:rsidRPr="00256F3D">
              <w:rPr>
                <w:rFonts w:ascii="Times New Roman" w:hAnsi="Times New Roman"/>
                <w:color w:val="000000"/>
              </w:rPr>
              <w:t xml:space="preserve"> Budynek w </w:t>
            </w:r>
            <w:r w:rsidR="003113A0">
              <w:rPr>
                <w:rFonts w:ascii="Times New Roman" w:hAnsi="Times New Roman"/>
                <w:color w:val="000000"/>
              </w:rPr>
              <w:t xml:space="preserve">średnim </w:t>
            </w:r>
            <w:r w:rsidR="00256F3D" w:rsidRPr="00256F3D">
              <w:rPr>
                <w:rFonts w:ascii="Times New Roman" w:hAnsi="Times New Roman"/>
                <w:color w:val="000000"/>
              </w:rPr>
              <w:t>stanie  technicznym.</w:t>
            </w:r>
          </w:p>
          <w:p w:rsidR="004777A3" w:rsidRDefault="006E2F31" w:rsidP="004777A3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5)</w:t>
            </w:r>
            <w:r w:rsidR="00162D8A" w:rsidRPr="00162D8A">
              <w:rPr>
                <w:rFonts w:ascii="Times New Roman" w:hAnsi="Times New Roman"/>
                <w:color w:val="000000"/>
                <w:sz w:val="24"/>
                <w:szCs w:val="20"/>
              </w:rPr>
              <w:t>Budynek s</w:t>
            </w:r>
            <w:r w:rsidR="00162D8A" w:rsidRPr="00162D8A">
              <w:rPr>
                <w:rFonts w:ascii="Times New Roman" w:hAnsi="Times New Roman"/>
                <w:szCs w:val="24"/>
              </w:rPr>
              <w:t xml:space="preserve">tacji </w:t>
            </w:r>
            <w:proofErr w:type="spellStart"/>
            <w:r w:rsidR="00162D8A" w:rsidRPr="00162D8A">
              <w:rPr>
                <w:rFonts w:ascii="Times New Roman" w:hAnsi="Times New Roman"/>
                <w:szCs w:val="24"/>
              </w:rPr>
              <w:t>trafo</w:t>
            </w:r>
            <w:proofErr w:type="spellEnd"/>
            <w:r w:rsidR="00162D8A" w:rsidRPr="00162D8A">
              <w:rPr>
                <w:rFonts w:ascii="Times New Roman" w:hAnsi="Times New Roman"/>
                <w:szCs w:val="24"/>
              </w:rPr>
              <w:t xml:space="preserve"> o pow. 13,00 m2</w:t>
            </w:r>
            <w:r w:rsidR="00162D8A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256F3D" w:rsidRPr="00256F3D">
              <w:rPr>
                <w:rFonts w:ascii="Times New Roman" w:hAnsi="Times New Roman"/>
                <w:color w:val="000000"/>
                <w:sz w:val="24"/>
                <w:szCs w:val="20"/>
              </w:rPr>
              <w:t>Budynek wysoki, I-sza kondygnacja niska, II-a kondygnacja wysoka. Budynek wolnostojący, nie podpiwniczony, konstrukcji murowano-prefabrykowanej.</w:t>
            </w:r>
            <w:r w:rsidR="004777A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  <w:p w:rsidR="00256F3D" w:rsidRPr="00EA233F" w:rsidRDefault="00162D8A" w:rsidP="004777A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Budynek zlokalizowany z tyłu budynku garażowego (starego) pomiędzy budynkiem garażowym a budynkiem biurowo-socjalnym. </w:t>
            </w:r>
            <w:r w:rsidR="00256F3D" w:rsidRPr="00256F3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Ściany murowane na fundamentach, strop i stropodach monolityczne, pokrycie papowe. Wykonano tylko stan surowy budynku, budynek nie był oddany do eksploatacji, nie funkcjonował.</w:t>
            </w:r>
            <w:r w:rsidR="00256F3D" w:rsidRPr="00256F3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Budynek bez stolarki okiennej i drzwiowej. Stan techniczny budynku średni.</w:t>
            </w:r>
          </w:p>
        </w:tc>
        <w:tc>
          <w:tcPr>
            <w:tcW w:w="2410" w:type="dxa"/>
          </w:tcPr>
          <w:p w:rsidR="00A16626" w:rsidRPr="0084421E" w:rsidRDefault="0084421E" w:rsidP="00904509">
            <w:pPr>
              <w:jc w:val="center"/>
              <w:rPr>
                <w:rFonts w:ascii="Times New Roman" w:hAnsi="Times New Roman"/>
                <w:szCs w:val="20"/>
              </w:rPr>
            </w:pPr>
            <w:r w:rsidRPr="0084421E">
              <w:rPr>
                <w:rFonts w:ascii="Times New Roman" w:hAnsi="Times New Roman"/>
              </w:rPr>
              <w:lastRenderedPageBreak/>
              <w:t>Teren oznaczony symbolem  – PP,S,RPU,US – teren rzemiosła produkcyjnego magazyny, stacja paliw itp. – teren byłego POM – zachowanie terenu i funkcji – konieczność uporządkowania – remonty, likwidacja obiektów w złym stanie technicznym, rozbudowa, zachowanie istniejącego budynku mieszkalnego do śmierci technicznej</w:t>
            </w:r>
          </w:p>
        </w:tc>
        <w:tc>
          <w:tcPr>
            <w:tcW w:w="1701" w:type="dxa"/>
          </w:tcPr>
          <w:p w:rsidR="00A16626" w:rsidRDefault="0084421E" w:rsidP="008902ED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247 </w:t>
            </w:r>
            <w:r w:rsidR="00DD7CB6">
              <w:rPr>
                <w:rFonts w:ascii="Times New Roman" w:hAnsi="Times New Roman"/>
                <w:szCs w:val="20"/>
              </w:rPr>
              <w:t>62</w:t>
            </w:r>
            <w:r>
              <w:rPr>
                <w:rFonts w:ascii="Times New Roman" w:hAnsi="Times New Roman"/>
                <w:szCs w:val="20"/>
              </w:rPr>
              <w:t xml:space="preserve">0,00 </w:t>
            </w:r>
          </w:p>
          <w:p w:rsidR="0084421E" w:rsidRPr="00EA233F" w:rsidRDefault="0084421E" w:rsidP="008902E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381492" w:rsidRPr="00D86FCB" w:rsidRDefault="00381492" w:rsidP="00381492">
      <w:pPr>
        <w:ind w:left="20" w:hanging="1420"/>
        <w:jc w:val="both"/>
        <w:rPr>
          <w:rFonts w:ascii="Times New Roman" w:hAnsi="Times New Roman"/>
          <w:sz w:val="24"/>
          <w:szCs w:val="24"/>
        </w:rPr>
      </w:pPr>
    </w:p>
    <w:p w:rsidR="00381492" w:rsidRPr="00783E19" w:rsidRDefault="00381492" w:rsidP="00D86FCB">
      <w:pPr>
        <w:ind w:left="20" w:hanging="1420"/>
        <w:jc w:val="both"/>
        <w:rPr>
          <w:rFonts w:ascii="Times New Roman" w:hAnsi="Times New Roman"/>
          <w:sz w:val="24"/>
          <w:szCs w:val="24"/>
        </w:rPr>
      </w:pPr>
      <w:r w:rsidRPr="00D86FCB">
        <w:rPr>
          <w:rFonts w:ascii="Times New Roman" w:hAnsi="Times New Roman"/>
          <w:sz w:val="24"/>
          <w:szCs w:val="24"/>
        </w:rPr>
        <w:t xml:space="preserve"> </w:t>
      </w:r>
      <w:r w:rsidRPr="00D86FCB">
        <w:rPr>
          <w:rFonts w:ascii="Times New Roman" w:hAnsi="Times New Roman"/>
          <w:sz w:val="24"/>
          <w:szCs w:val="24"/>
        </w:rPr>
        <w:tab/>
      </w:r>
      <w:r w:rsidRPr="00783E19">
        <w:rPr>
          <w:rFonts w:ascii="Times New Roman" w:hAnsi="Times New Roman"/>
          <w:sz w:val="24"/>
          <w:szCs w:val="24"/>
        </w:rPr>
        <w:t xml:space="preserve">Niniejszy wykaz został wywieszony na tablicy ogłoszeń w siedzibie Urzędu Gminy w Mirczu na okres 21 dni, licząc od dnia </w:t>
      </w:r>
      <w:r w:rsidR="0062370A">
        <w:rPr>
          <w:rFonts w:ascii="Times New Roman" w:hAnsi="Times New Roman"/>
          <w:sz w:val="24"/>
          <w:szCs w:val="24"/>
        </w:rPr>
        <w:t>24 kwietnia</w:t>
      </w:r>
      <w:r w:rsidR="0037721B">
        <w:rPr>
          <w:rFonts w:ascii="Times New Roman" w:hAnsi="Times New Roman"/>
          <w:sz w:val="24"/>
          <w:szCs w:val="24"/>
        </w:rPr>
        <w:t xml:space="preserve"> </w:t>
      </w:r>
      <w:r w:rsidR="00D86FCB" w:rsidRPr="00783E19">
        <w:rPr>
          <w:rFonts w:ascii="Times New Roman" w:hAnsi="Times New Roman"/>
          <w:sz w:val="24"/>
          <w:szCs w:val="24"/>
        </w:rPr>
        <w:t>20</w:t>
      </w:r>
      <w:r w:rsidR="008615FD">
        <w:rPr>
          <w:rFonts w:ascii="Times New Roman" w:hAnsi="Times New Roman"/>
          <w:sz w:val="24"/>
          <w:szCs w:val="24"/>
        </w:rPr>
        <w:t>2</w:t>
      </w:r>
      <w:r w:rsidR="0062370A">
        <w:rPr>
          <w:rFonts w:ascii="Times New Roman" w:hAnsi="Times New Roman"/>
          <w:sz w:val="24"/>
          <w:szCs w:val="24"/>
        </w:rPr>
        <w:t>4</w:t>
      </w:r>
      <w:r w:rsidR="00D86FCB" w:rsidRPr="00783E19">
        <w:rPr>
          <w:rFonts w:ascii="Times New Roman" w:hAnsi="Times New Roman"/>
          <w:sz w:val="24"/>
          <w:szCs w:val="24"/>
        </w:rPr>
        <w:t xml:space="preserve"> </w:t>
      </w:r>
      <w:r w:rsidRPr="00783E19">
        <w:rPr>
          <w:rFonts w:ascii="Times New Roman" w:hAnsi="Times New Roman"/>
          <w:sz w:val="24"/>
          <w:szCs w:val="24"/>
        </w:rPr>
        <w:t xml:space="preserve">r. do dnia </w:t>
      </w:r>
      <w:r w:rsidR="007A2C16">
        <w:rPr>
          <w:rFonts w:ascii="Times New Roman" w:hAnsi="Times New Roman"/>
          <w:sz w:val="24"/>
          <w:szCs w:val="24"/>
        </w:rPr>
        <w:t xml:space="preserve"> </w:t>
      </w:r>
      <w:r w:rsidR="0062370A">
        <w:rPr>
          <w:rFonts w:ascii="Times New Roman" w:hAnsi="Times New Roman"/>
          <w:sz w:val="24"/>
          <w:szCs w:val="24"/>
        </w:rPr>
        <w:t>15 maja</w:t>
      </w:r>
      <w:r w:rsidR="0037721B">
        <w:rPr>
          <w:rFonts w:ascii="Times New Roman" w:hAnsi="Times New Roman"/>
          <w:sz w:val="24"/>
          <w:szCs w:val="24"/>
        </w:rPr>
        <w:t xml:space="preserve"> </w:t>
      </w:r>
      <w:r w:rsidR="00D86FCB" w:rsidRPr="00783E19">
        <w:rPr>
          <w:rFonts w:ascii="Times New Roman" w:hAnsi="Times New Roman"/>
          <w:sz w:val="24"/>
          <w:szCs w:val="24"/>
        </w:rPr>
        <w:t>20</w:t>
      </w:r>
      <w:r w:rsidR="008615FD">
        <w:rPr>
          <w:rFonts w:ascii="Times New Roman" w:hAnsi="Times New Roman"/>
          <w:sz w:val="24"/>
          <w:szCs w:val="24"/>
        </w:rPr>
        <w:t>2</w:t>
      </w:r>
      <w:r w:rsidR="0062370A">
        <w:rPr>
          <w:rFonts w:ascii="Times New Roman" w:hAnsi="Times New Roman"/>
          <w:sz w:val="24"/>
          <w:szCs w:val="24"/>
        </w:rPr>
        <w:t>4</w:t>
      </w:r>
      <w:r w:rsidR="00BB6D8A">
        <w:rPr>
          <w:rFonts w:ascii="Times New Roman" w:hAnsi="Times New Roman"/>
          <w:sz w:val="24"/>
          <w:szCs w:val="24"/>
        </w:rPr>
        <w:t xml:space="preserve"> </w:t>
      </w:r>
      <w:r w:rsidRPr="00783E19">
        <w:rPr>
          <w:rFonts w:ascii="Times New Roman" w:hAnsi="Times New Roman"/>
          <w:sz w:val="24"/>
          <w:szCs w:val="24"/>
        </w:rPr>
        <w:t xml:space="preserve">r.           </w:t>
      </w:r>
    </w:p>
    <w:p w:rsidR="00381492" w:rsidRPr="00783E19" w:rsidRDefault="000F5B2D" w:rsidP="00D86FCB">
      <w:pPr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Osoby, którym przysługuje </w:t>
      </w:r>
      <w:r w:rsidR="00381492" w:rsidRPr="00783E19">
        <w:rPr>
          <w:rFonts w:ascii="Times New Roman" w:hAnsi="Times New Roman"/>
          <w:sz w:val="24"/>
          <w:szCs w:val="24"/>
        </w:rPr>
        <w:t xml:space="preserve">pierwszeństwo w nabyciu </w:t>
      </w:r>
      <w:r>
        <w:rPr>
          <w:rFonts w:ascii="Times New Roman" w:hAnsi="Times New Roman"/>
          <w:sz w:val="24"/>
          <w:szCs w:val="24"/>
        </w:rPr>
        <w:t xml:space="preserve">w/w </w:t>
      </w:r>
      <w:r w:rsidR="00381492" w:rsidRPr="00783E19">
        <w:rPr>
          <w:rFonts w:ascii="Times New Roman" w:hAnsi="Times New Roman"/>
          <w:sz w:val="24"/>
          <w:szCs w:val="24"/>
        </w:rPr>
        <w:t xml:space="preserve">nieruchomości na podstawie art. 34 ust. 1pkt 1 i 2 ustawy z dnia 21 sierpnia 1997 roku o gospodarce nieruchomościami </w:t>
      </w:r>
      <w:r w:rsidR="00783E19" w:rsidRPr="00783E19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83E19" w:rsidRPr="00783E19">
        <w:rPr>
          <w:rFonts w:ascii="Times New Roman" w:hAnsi="Times New Roman"/>
          <w:sz w:val="24"/>
          <w:szCs w:val="24"/>
        </w:rPr>
        <w:t>t.j</w:t>
      </w:r>
      <w:proofErr w:type="spellEnd"/>
      <w:r w:rsidR="00783E19" w:rsidRPr="00783E19">
        <w:rPr>
          <w:rFonts w:ascii="Times New Roman" w:hAnsi="Times New Roman"/>
          <w:sz w:val="24"/>
          <w:szCs w:val="24"/>
        </w:rPr>
        <w:t>. Dz. U. z 20</w:t>
      </w:r>
      <w:r w:rsidR="005D0130">
        <w:rPr>
          <w:rFonts w:ascii="Times New Roman" w:hAnsi="Times New Roman"/>
          <w:sz w:val="24"/>
          <w:szCs w:val="24"/>
        </w:rPr>
        <w:t>2</w:t>
      </w:r>
      <w:r w:rsidR="007B78C7">
        <w:rPr>
          <w:rFonts w:ascii="Times New Roman" w:hAnsi="Times New Roman"/>
          <w:sz w:val="24"/>
          <w:szCs w:val="24"/>
        </w:rPr>
        <w:t>3</w:t>
      </w:r>
      <w:r w:rsidR="00783E19" w:rsidRPr="00783E19">
        <w:rPr>
          <w:rFonts w:ascii="Times New Roman" w:hAnsi="Times New Roman"/>
          <w:sz w:val="24"/>
          <w:szCs w:val="24"/>
        </w:rPr>
        <w:t xml:space="preserve"> roku poz.</w:t>
      </w:r>
      <w:r w:rsidR="00920E5D">
        <w:rPr>
          <w:rFonts w:ascii="Times New Roman" w:hAnsi="Times New Roman"/>
          <w:sz w:val="24"/>
          <w:szCs w:val="24"/>
        </w:rPr>
        <w:t xml:space="preserve"> 344</w:t>
      </w:r>
      <w:r w:rsidR="007A2C16">
        <w:rPr>
          <w:rFonts w:ascii="Times New Roman" w:hAnsi="Times New Roman"/>
          <w:sz w:val="24"/>
          <w:szCs w:val="24"/>
        </w:rPr>
        <w:t xml:space="preserve"> z późn.zm.</w:t>
      </w:r>
      <w:r w:rsidR="00783E19" w:rsidRPr="00783E1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mogą składać wnioski, skierowane do Wójta Gminy Mircze do dnia</w:t>
      </w:r>
      <w:r w:rsidR="002F6913">
        <w:rPr>
          <w:rFonts w:ascii="Times New Roman" w:hAnsi="Times New Roman"/>
          <w:sz w:val="24"/>
          <w:szCs w:val="24"/>
        </w:rPr>
        <w:t xml:space="preserve"> </w:t>
      </w:r>
      <w:r w:rsidR="0062370A">
        <w:rPr>
          <w:rFonts w:ascii="Times New Roman" w:hAnsi="Times New Roman"/>
          <w:sz w:val="24"/>
          <w:szCs w:val="24"/>
        </w:rPr>
        <w:t>5</w:t>
      </w:r>
      <w:r w:rsidR="004A5347">
        <w:rPr>
          <w:rFonts w:ascii="Times New Roman" w:hAnsi="Times New Roman"/>
          <w:sz w:val="24"/>
          <w:szCs w:val="24"/>
        </w:rPr>
        <w:t>.</w:t>
      </w:r>
      <w:r w:rsidR="0062370A">
        <w:rPr>
          <w:rFonts w:ascii="Times New Roman" w:hAnsi="Times New Roman"/>
          <w:sz w:val="24"/>
          <w:szCs w:val="24"/>
        </w:rPr>
        <w:t>0</w:t>
      </w:r>
      <w:r w:rsidR="009005C6">
        <w:rPr>
          <w:rFonts w:ascii="Times New Roman" w:hAnsi="Times New Roman"/>
          <w:sz w:val="24"/>
          <w:szCs w:val="24"/>
        </w:rPr>
        <w:t>6</w:t>
      </w:r>
      <w:r w:rsidR="004A5347">
        <w:rPr>
          <w:rFonts w:ascii="Times New Roman" w:hAnsi="Times New Roman"/>
          <w:sz w:val="24"/>
          <w:szCs w:val="24"/>
        </w:rPr>
        <w:t>.</w:t>
      </w:r>
      <w:r w:rsidR="00920E5D">
        <w:rPr>
          <w:rFonts w:ascii="Times New Roman" w:hAnsi="Times New Roman"/>
          <w:sz w:val="24"/>
          <w:szCs w:val="24"/>
        </w:rPr>
        <w:t>202</w:t>
      </w:r>
      <w:r w:rsidR="0062370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roku</w:t>
      </w:r>
      <w:r w:rsidR="00381492" w:rsidRPr="00783E19">
        <w:rPr>
          <w:rFonts w:ascii="Times New Roman" w:hAnsi="Times New Roman"/>
          <w:sz w:val="24"/>
          <w:szCs w:val="24"/>
        </w:rPr>
        <w:t xml:space="preserve">.    </w:t>
      </w:r>
    </w:p>
    <w:p w:rsidR="00381492" w:rsidRPr="000F5B2D" w:rsidRDefault="00381492" w:rsidP="000F5B2D">
      <w:pPr>
        <w:pStyle w:val="Bezodstpw"/>
        <w:rPr>
          <w:rFonts w:ascii="Times New Roman" w:hAnsi="Times New Roman"/>
          <w:sz w:val="24"/>
          <w:szCs w:val="24"/>
        </w:rPr>
      </w:pPr>
      <w:r w:rsidRPr="000F5B2D">
        <w:rPr>
          <w:rFonts w:ascii="Times New Roman" w:hAnsi="Times New Roman"/>
          <w:sz w:val="24"/>
          <w:szCs w:val="24"/>
        </w:rPr>
        <w:t>Termin, miejsce oraz warunki przetargu zostaną podane do publicznej wiadomości w odrębnym ogłoszeniu.</w:t>
      </w:r>
    </w:p>
    <w:p w:rsidR="0086017E" w:rsidRPr="000F5B2D" w:rsidRDefault="00381492" w:rsidP="000F5B2D">
      <w:pPr>
        <w:pStyle w:val="Bezodstpw"/>
        <w:rPr>
          <w:rFonts w:ascii="Times New Roman" w:hAnsi="Times New Roman"/>
          <w:sz w:val="24"/>
          <w:szCs w:val="24"/>
        </w:rPr>
      </w:pPr>
      <w:r w:rsidRPr="000F5B2D">
        <w:rPr>
          <w:rFonts w:ascii="Times New Roman" w:hAnsi="Times New Roman"/>
          <w:sz w:val="24"/>
          <w:szCs w:val="24"/>
        </w:rPr>
        <w:t>Szczegółowe informacje o wyżej wymienionych nieruchomościach można uzyskać w siedzibie Urzędu Gminy Mircze, ul. Kryłowska 20, pokój nr 208,</w:t>
      </w:r>
      <w:r w:rsidR="00D86FCB" w:rsidRPr="000F5B2D">
        <w:rPr>
          <w:rFonts w:ascii="Times New Roman" w:hAnsi="Times New Roman"/>
          <w:sz w:val="24"/>
          <w:szCs w:val="24"/>
        </w:rPr>
        <w:t xml:space="preserve"> </w:t>
      </w:r>
      <w:r w:rsidRPr="000F5B2D">
        <w:rPr>
          <w:rFonts w:ascii="Times New Roman" w:hAnsi="Times New Roman"/>
          <w:sz w:val="24"/>
          <w:szCs w:val="24"/>
        </w:rPr>
        <w:t>tel. (84) 651-90-15 wew. 38</w:t>
      </w:r>
      <w:r w:rsidR="00EE56BA" w:rsidRPr="000F5B2D">
        <w:rPr>
          <w:rFonts w:ascii="Times New Roman" w:hAnsi="Times New Roman"/>
          <w:sz w:val="24"/>
          <w:szCs w:val="24"/>
        </w:rPr>
        <w:t>.</w:t>
      </w:r>
      <w:r w:rsidR="00BB6D8A" w:rsidRPr="000F5B2D">
        <w:rPr>
          <w:rFonts w:ascii="Times New Roman" w:hAnsi="Times New Roman"/>
          <w:sz w:val="24"/>
          <w:szCs w:val="24"/>
        </w:rPr>
        <w:t xml:space="preserve"> </w:t>
      </w:r>
    </w:p>
    <w:sectPr w:rsidR="0086017E" w:rsidRPr="000F5B2D" w:rsidSect="00783E19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013E46"/>
    <w:multiLevelType w:val="hybridMultilevel"/>
    <w:tmpl w:val="3102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37089"/>
    <w:multiLevelType w:val="hybridMultilevel"/>
    <w:tmpl w:val="A7CCE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05"/>
    <w:rsid w:val="00002A04"/>
    <w:rsid w:val="000260F3"/>
    <w:rsid w:val="00035503"/>
    <w:rsid w:val="0003575E"/>
    <w:rsid w:val="000423F2"/>
    <w:rsid w:val="0004289D"/>
    <w:rsid w:val="00051730"/>
    <w:rsid w:val="00057853"/>
    <w:rsid w:val="0006044C"/>
    <w:rsid w:val="00067051"/>
    <w:rsid w:val="00076672"/>
    <w:rsid w:val="00076EA5"/>
    <w:rsid w:val="00084B00"/>
    <w:rsid w:val="000940DE"/>
    <w:rsid w:val="000961B9"/>
    <w:rsid w:val="000A22BA"/>
    <w:rsid w:val="000A7E5C"/>
    <w:rsid w:val="000B3675"/>
    <w:rsid w:val="000C6B4A"/>
    <w:rsid w:val="000F5B2D"/>
    <w:rsid w:val="000F7D47"/>
    <w:rsid w:val="001000B9"/>
    <w:rsid w:val="001102FD"/>
    <w:rsid w:val="00112F06"/>
    <w:rsid w:val="001209B2"/>
    <w:rsid w:val="001308EA"/>
    <w:rsid w:val="00141817"/>
    <w:rsid w:val="00143882"/>
    <w:rsid w:val="00152C6E"/>
    <w:rsid w:val="00162D8A"/>
    <w:rsid w:val="00163AF5"/>
    <w:rsid w:val="00171FCA"/>
    <w:rsid w:val="00187D23"/>
    <w:rsid w:val="00193FF3"/>
    <w:rsid w:val="001A1606"/>
    <w:rsid w:val="001C5318"/>
    <w:rsid w:val="001C666D"/>
    <w:rsid w:val="001F2845"/>
    <w:rsid w:val="001F7002"/>
    <w:rsid w:val="00206B9A"/>
    <w:rsid w:val="00220606"/>
    <w:rsid w:val="002262A3"/>
    <w:rsid w:val="0024050C"/>
    <w:rsid w:val="00241B6B"/>
    <w:rsid w:val="00243829"/>
    <w:rsid w:val="00251416"/>
    <w:rsid w:val="00256F3D"/>
    <w:rsid w:val="00270ED7"/>
    <w:rsid w:val="00287218"/>
    <w:rsid w:val="002948E4"/>
    <w:rsid w:val="002A2C67"/>
    <w:rsid w:val="002B2DFE"/>
    <w:rsid w:val="002B4911"/>
    <w:rsid w:val="002F07B3"/>
    <w:rsid w:val="002F3722"/>
    <w:rsid w:val="002F6913"/>
    <w:rsid w:val="0030117A"/>
    <w:rsid w:val="003068AA"/>
    <w:rsid w:val="003113A0"/>
    <w:rsid w:val="00333A48"/>
    <w:rsid w:val="003762FC"/>
    <w:rsid w:val="0037721B"/>
    <w:rsid w:val="00381492"/>
    <w:rsid w:val="00381726"/>
    <w:rsid w:val="00386480"/>
    <w:rsid w:val="003A4FEE"/>
    <w:rsid w:val="003B0255"/>
    <w:rsid w:val="003B4AF4"/>
    <w:rsid w:val="003D369C"/>
    <w:rsid w:val="003D7818"/>
    <w:rsid w:val="0040190F"/>
    <w:rsid w:val="00403465"/>
    <w:rsid w:val="00403548"/>
    <w:rsid w:val="00416035"/>
    <w:rsid w:val="00425F6E"/>
    <w:rsid w:val="00430924"/>
    <w:rsid w:val="00442C79"/>
    <w:rsid w:val="004453BF"/>
    <w:rsid w:val="0045566B"/>
    <w:rsid w:val="00464258"/>
    <w:rsid w:val="004777A3"/>
    <w:rsid w:val="004A5347"/>
    <w:rsid w:val="004E4CFE"/>
    <w:rsid w:val="004E77DB"/>
    <w:rsid w:val="004F249E"/>
    <w:rsid w:val="004F47DE"/>
    <w:rsid w:val="004F7F96"/>
    <w:rsid w:val="00510C17"/>
    <w:rsid w:val="005176B7"/>
    <w:rsid w:val="0053783D"/>
    <w:rsid w:val="00566C76"/>
    <w:rsid w:val="005757BC"/>
    <w:rsid w:val="00586574"/>
    <w:rsid w:val="005A46FD"/>
    <w:rsid w:val="005C33B3"/>
    <w:rsid w:val="005D0130"/>
    <w:rsid w:val="005D23EE"/>
    <w:rsid w:val="005D7BF6"/>
    <w:rsid w:val="00615257"/>
    <w:rsid w:val="006156DA"/>
    <w:rsid w:val="0062370A"/>
    <w:rsid w:val="00630060"/>
    <w:rsid w:val="006359E4"/>
    <w:rsid w:val="006400A3"/>
    <w:rsid w:val="00653272"/>
    <w:rsid w:val="006558DE"/>
    <w:rsid w:val="00671D20"/>
    <w:rsid w:val="00691E32"/>
    <w:rsid w:val="006A1079"/>
    <w:rsid w:val="006C236C"/>
    <w:rsid w:val="006C4A15"/>
    <w:rsid w:val="006C6403"/>
    <w:rsid w:val="006C6A00"/>
    <w:rsid w:val="006E2F31"/>
    <w:rsid w:val="006E4A5A"/>
    <w:rsid w:val="006F3C2D"/>
    <w:rsid w:val="007104C3"/>
    <w:rsid w:val="0072198D"/>
    <w:rsid w:val="007221C5"/>
    <w:rsid w:val="00723BD8"/>
    <w:rsid w:val="00755AA7"/>
    <w:rsid w:val="00756AB2"/>
    <w:rsid w:val="007674C1"/>
    <w:rsid w:val="00775B8E"/>
    <w:rsid w:val="00783090"/>
    <w:rsid w:val="00783E19"/>
    <w:rsid w:val="00794347"/>
    <w:rsid w:val="00795D1F"/>
    <w:rsid w:val="0079654E"/>
    <w:rsid w:val="007A2C16"/>
    <w:rsid w:val="007A39CD"/>
    <w:rsid w:val="007B78C7"/>
    <w:rsid w:val="007D1603"/>
    <w:rsid w:val="007E3F77"/>
    <w:rsid w:val="00802F7F"/>
    <w:rsid w:val="0080370E"/>
    <w:rsid w:val="00817095"/>
    <w:rsid w:val="0084421E"/>
    <w:rsid w:val="0086017E"/>
    <w:rsid w:val="008615FD"/>
    <w:rsid w:val="0086611F"/>
    <w:rsid w:val="0086613C"/>
    <w:rsid w:val="00867233"/>
    <w:rsid w:val="008719C6"/>
    <w:rsid w:val="00885D4E"/>
    <w:rsid w:val="008861D8"/>
    <w:rsid w:val="008902ED"/>
    <w:rsid w:val="008A2BE8"/>
    <w:rsid w:val="008A6345"/>
    <w:rsid w:val="008B11F1"/>
    <w:rsid w:val="008B2022"/>
    <w:rsid w:val="008B2451"/>
    <w:rsid w:val="008D5805"/>
    <w:rsid w:val="008E4F70"/>
    <w:rsid w:val="008F03E1"/>
    <w:rsid w:val="009005C6"/>
    <w:rsid w:val="00901B3A"/>
    <w:rsid w:val="00904509"/>
    <w:rsid w:val="00906E8D"/>
    <w:rsid w:val="00911304"/>
    <w:rsid w:val="009127D0"/>
    <w:rsid w:val="009131DA"/>
    <w:rsid w:val="00920E5D"/>
    <w:rsid w:val="00934397"/>
    <w:rsid w:val="009568A5"/>
    <w:rsid w:val="00985902"/>
    <w:rsid w:val="009A2D7B"/>
    <w:rsid w:val="009B2434"/>
    <w:rsid w:val="009B7661"/>
    <w:rsid w:val="009D257B"/>
    <w:rsid w:val="009E0F63"/>
    <w:rsid w:val="009F2B1C"/>
    <w:rsid w:val="00A03378"/>
    <w:rsid w:val="00A152AC"/>
    <w:rsid w:val="00A16626"/>
    <w:rsid w:val="00A228E5"/>
    <w:rsid w:val="00A37A26"/>
    <w:rsid w:val="00A449C1"/>
    <w:rsid w:val="00A44BD4"/>
    <w:rsid w:val="00A63268"/>
    <w:rsid w:val="00A8202B"/>
    <w:rsid w:val="00A83135"/>
    <w:rsid w:val="00A84226"/>
    <w:rsid w:val="00A9328F"/>
    <w:rsid w:val="00AA1CE0"/>
    <w:rsid w:val="00AA5FCC"/>
    <w:rsid w:val="00AB1707"/>
    <w:rsid w:val="00AB217F"/>
    <w:rsid w:val="00AB4A32"/>
    <w:rsid w:val="00AB6E7C"/>
    <w:rsid w:val="00AC7EC0"/>
    <w:rsid w:val="00AD2B02"/>
    <w:rsid w:val="00AE1737"/>
    <w:rsid w:val="00AF54A8"/>
    <w:rsid w:val="00B3046C"/>
    <w:rsid w:val="00B3731A"/>
    <w:rsid w:val="00B6348B"/>
    <w:rsid w:val="00B67FBB"/>
    <w:rsid w:val="00B84CEE"/>
    <w:rsid w:val="00B95403"/>
    <w:rsid w:val="00BB6D8A"/>
    <w:rsid w:val="00BC1A4D"/>
    <w:rsid w:val="00BC5705"/>
    <w:rsid w:val="00BE5DAE"/>
    <w:rsid w:val="00C42FD5"/>
    <w:rsid w:val="00C67C50"/>
    <w:rsid w:val="00C83730"/>
    <w:rsid w:val="00C86CF2"/>
    <w:rsid w:val="00C94A62"/>
    <w:rsid w:val="00CA4253"/>
    <w:rsid w:val="00CB1B9E"/>
    <w:rsid w:val="00CD2DB3"/>
    <w:rsid w:val="00CF06C3"/>
    <w:rsid w:val="00CF53CB"/>
    <w:rsid w:val="00D100F8"/>
    <w:rsid w:val="00D315B6"/>
    <w:rsid w:val="00D35242"/>
    <w:rsid w:val="00D46E53"/>
    <w:rsid w:val="00D53989"/>
    <w:rsid w:val="00D747B6"/>
    <w:rsid w:val="00D86FCB"/>
    <w:rsid w:val="00DC1731"/>
    <w:rsid w:val="00DC5BFD"/>
    <w:rsid w:val="00DD37D9"/>
    <w:rsid w:val="00DD7CB6"/>
    <w:rsid w:val="00DF2D4E"/>
    <w:rsid w:val="00E03CD0"/>
    <w:rsid w:val="00E057E8"/>
    <w:rsid w:val="00E14719"/>
    <w:rsid w:val="00E21980"/>
    <w:rsid w:val="00E24E8A"/>
    <w:rsid w:val="00E27F24"/>
    <w:rsid w:val="00E31B36"/>
    <w:rsid w:val="00E45D49"/>
    <w:rsid w:val="00E51842"/>
    <w:rsid w:val="00E577FC"/>
    <w:rsid w:val="00E67770"/>
    <w:rsid w:val="00E858B8"/>
    <w:rsid w:val="00E90097"/>
    <w:rsid w:val="00E93983"/>
    <w:rsid w:val="00EA233F"/>
    <w:rsid w:val="00EA3C40"/>
    <w:rsid w:val="00EA7001"/>
    <w:rsid w:val="00EB13CC"/>
    <w:rsid w:val="00ED2D39"/>
    <w:rsid w:val="00EE56BA"/>
    <w:rsid w:val="00EF2997"/>
    <w:rsid w:val="00EF748C"/>
    <w:rsid w:val="00F02B84"/>
    <w:rsid w:val="00F04006"/>
    <w:rsid w:val="00F11723"/>
    <w:rsid w:val="00F2209A"/>
    <w:rsid w:val="00F45253"/>
    <w:rsid w:val="00F77777"/>
    <w:rsid w:val="00F77D4B"/>
    <w:rsid w:val="00F95DE8"/>
    <w:rsid w:val="00FA7EEC"/>
    <w:rsid w:val="00FC7DE0"/>
    <w:rsid w:val="00FD3BC2"/>
    <w:rsid w:val="00FD411F"/>
    <w:rsid w:val="00FD41DE"/>
    <w:rsid w:val="00FD4424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83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1492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149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8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8149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381492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0"/>
    </w:rPr>
  </w:style>
  <w:style w:type="paragraph" w:styleId="Bezodstpw">
    <w:name w:val="No Spacing"/>
    <w:uiPriority w:val="1"/>
    <w:qFormat/>
    <w:rsid w:val="00D86FC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1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83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1492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149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8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8149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381492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0"/>
    </w:rPr>
  </w:style>
  <w:style w:type="paragraph" w:styleId="Bezodstpw">
    <w:name w:val="No Spacing"/>
    <w:uiPriority w:val="1"/>
    <w:qFormat/>
    <w:rsid w:val="00D86FC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3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usr04</dc:creator>
  <cp:keywords/>
  <dc:description/>
  <cp:lastModifiedBy>usr04</cp:lastModifiedBy>
  <cp:revision>266</cp:revision>
  <cp:lastPrinted>2020-10-06T07:36:00Z</cp:lastPrinted>
  <dcterms:created xsi:type="dcterms:W3CDTF">2017-03-01T13:59:00Z</dcterms:created>
  <dcterms:modified xsi:type="dcterms:W3CDTF">2024-04-23T12:43:00Z</dcterms:modified>
</cp:coreProperties>
</file>